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BM Plex Sans" w:cs="IBM Plex Sans" w:eastAsia="IBM Plex Sans" w:hAnsi="IBM Plex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IBM Plex Sans" w:cs="IBM Plex Sans" w:eastAsia="IBM Plex Sans" w:hAnsi="IBM Plex Sans"/>
          <w:b w:val="1"/>
          <w:color w:val="ff0000"/>
          <w:sz w:val="32"/>
          <w:szCs w:val="32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ff0000"/>
          <w:sz w:val="32"/>
          <w:szCs w:val="32"/>
          <w:rtl w:val="0"/>
        </w:rPr>
        <w:t xml:space="preserve">GRIGLIA di VALUTAZIONE (Competenze e orientamento)</w:t>
      </w:r>
    </w:p>
    <w:p w:rsidR="00000000" w:rsidDel="00000000" w:rsidP="00000000" w:rsidRDefault="00000000" w:rsidRPr="00000000" w14:paraId="00000003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310"/>
        <w:gridCol w:w="2535"/>
        <w:gridCol w:w="1110"/>
        <w:gridCol w:w="900"/>
        <w:gridCol w:w="1440"/>
        <w:gridCol w:w="1305"/>
        <w:tblGridChange w:id="0">
          <w:tblGrid>
            <w:gridCol w:w="1560"/>
            <w:gridCol w:w="2310"/>
            <w:gridCol w:w="2535"/>
            <w:gridCol w:w="1110"/>
            <w:gridCol w:w="900"/>
            <w:gridCol w:w="1440"/>
            <w:gridCol w:w="130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0000"/>
                <w:rtl w:val="0"/>
              </w:rPr>
              <w:t xml:space="preserve">Framework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0000"/>
                <w:rtl w:val="0"/>
              </w:rPr>
              <w:t xml:space="preserve">Competenza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0000"/>
                <w:rtl w:val="0"/>
              </w:rPr>
              <w:t xml:space="preserve">Abilità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ff0000"/>
                <w:rtl w:val="0"/>
              </w:rPr>
              <w:t xml:space="preserve">Livello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iniziale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base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intermedio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avanzato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LifeComp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personale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Flessibilità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Dimostrare abilità nel gestire i cambiamenti e l’incertezza e fronteggiare le sfide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tcBorders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tcBorders>
              <w:bottom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sociale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Collaborazione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strategie per comunicare in modo pertinente e in relazione al contesto e al contenuto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Partecipare all’attività del gruppo sia riconoscendo il lavoro di squadra sia rispettando gli altri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0"/>
                <w:szCs w:val="20"/>
                <w:rtl w:val="0"/>
              </w:rPr>
              <w:t xml:space="preserve">EntreComp</w:t>
            </w:r>
          </w:p>
          <w:p w:rsidR="00000000" w:rsidDel="00000000" w:rsidP="00000000" w:rsidRDefault="00000000" w:rsidRPr="00000000" w14:paraId="0000003C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Idee e opportunità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Pensare in maniera etica e sostenibile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idee creative e propositive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Risorse</w:t>
            </w:r>
          </w:p>
          <w:p w:rsidR="00000000" w:rsidDel="00000000" w:rsidP="00000000" w:rsidRDefault="00000000" w:rsidRPr="00000000" w14:paraId="0000004A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Mobilitare gli altri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Ispirare, entusiasmare e portare gli altri a bordo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azione </w:t>
            </w:r>
          </w:p>
          <w:p w:rsidR="00000000" w:rsidDel="00000000" w:rsidP="00000000" w:rsidRDefault="00000000" w:rsidRPr="00000000" w14:paraId="00000056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Lavorare con gli altri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Fare gruppo collaborare, fare rete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0"/>
                <w:szCs w:val="20"/>
                <w:rtl w:val="0"/>
              </w:rPr>
              <w:t xml:space="preserve">DigComp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Navigare, ricercare e filtrare dati, informazioni e contenuti digitali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Dimostrare strategie efficaci per la ricerca di contenuti digitali</w:t>
            </w:r>
          </w:p>
          <w:p w:rsidR="00000000" w:rsidDel="00000000" w:rsidP="00000000" w:rsidRDefault="00000000" w:rsidRPr="00000000" w14:paraId="00000063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C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0"/>
                <w:szCs w:val="20"/>
                <w:rtl w:val="0"/>
              </w:rPr>
              <w:t xml:space="preserve">GreenComp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ff"/>
                <w:sz w:val="20"/>
                <w:szCs w:val="20"/>
                <w:rtl w:val="0"/>
              </w:rPr>
              <w:t xml:space="preserve">Valori della sostenibilità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br w:type="textWrapping"/>
              <w:t xml:space="preserve">Attribuire valore alla sostenibilità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ff"/>
                <w:sz w:val="20"/>
                <w:szCs w:val="20"/>
                <w:rtl w:val="0"/>
              </w:rPr>
              <w:t xml:space="preserve">Azione per la sostenibilità </w:t>
            </w: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br w:type="textWrapping"/>
              <w:t xml:space="preserve">Azione collettiva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Iniziativa individuale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Riflettere sui propri valori personali e della società in relazione ai valori della sostenibilità</w:t>
            </w:r>
          </w:p>
          <w:p w:rsidR="00000000" w:rsidDel="00000000" w:rsidP="00000000" w:rsidRDefault="00000000" w:rsidRPr="00000000" w14:paraId="00000074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Agire per il cambiamento in collaborazione con gli altri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Saper individuare il proprio potenziale a favore della sostenibilità e contribuire attivamente al miglioramento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IBM Plex Sans" w:cs="IBM Plex Sans" w:eastAsia="IBM Plex Sans" w:hAnsi="IBM Plex Sans"/>
                <w:color w:val="00000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color w:val="000000"/>
                <w:rtl w:val="0"/>
              </w:rPr>
              <w:t xml:space="preserve">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IBM Plex Sans" w:cs="IBM Plex Sans" w:eastAsia="IBM Plex Sans" w:hAnsi="IBM Plex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sz w:val="20"/>
                <w:szCs w:val="20"/>
                <w:rtl w:val="0"/>
              </w:rPr>
              <w:t xml:space="preserve">Competenze per una cultura della democrazia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IBM Plex Sans" w:cs="IBM Plex Sans" w:eastAsia="IBM Plex Sans" w:hAnsi="IBM Plex Sans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b w:val="1"/>
                <w:color w:val="0000ff"/>
                <w:sz w:val="20"/>
                <w:szCs w:val="20"/>
                <w:rtl w:val="0"/>
              </w:rPr>
              <w:t xml:space="preserve">Valori</w:t>
            </w:r>
          </w:p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Valorizzare la democrazia, la giustizia, l’equità, l’uguaglianza e il primato del diritto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sz w:val="20"/>
                <w:szCs w:val="20"/>
                <w:rtl w:val="0"/>
              </w:rPr>
              <w:t xml:space="preserve">Sostenere procedure democratiche e pacifiche, cittadinanza attiva e la protezione delle libertà civili</w:t>
            </w:r>
          </w:p>
          <w:p w:rsidR="00000000" w:rsidDel="00000000" w:rsidP="00000000" w:rsidRDefault="00000000" w:rsidRPr="00000000" w14:paraId="00000097">
            <w:pPr>
              <w:rPr>
                <w:rFonts w:ascii="IBM Plex Sans" w:cs="IBM Plex Sans" w:eastAsia="IBM Plex Sans" w:hAnsi="IBM Plex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IBM Plex Sans" w:cs="IBM Plex Sans" w:eastAsia="IBM Plex Sans" w:hAnsi="IBM Plex Sans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17" w:w="11901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© Zanichelli 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spacing w:line="276" w:lineRule="auto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81163" cy="22809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1163" cy="2280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95DCB"/>
    <w:rPr>
      <w:rFonts w:asciiTheme="minorHAnsi" w:cstheme="minorBidi" w:eastAsiaTheme="minorEastAsia"/>
      <w:color w:val="auto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95DCB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995DCB"/>
    <w:rPr>
      <w:rFonts w:asciiTheme="minorHAnsi" w:cstheme="minorBidi" w:eastAsiaTheme="minorEastAsia"/>
      <w:color w:val="aut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atterepredefinitoparagrafo"/>
    <w:uiPriority w:val="99"/>
    <w:unhideWhenUsed w:val="1"/>
    <w:rsid w:val="00995DCB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995DC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995DCB"/>
    <w:rPr>
      <w:rFonts w:asciiTheme="minorHAnsi" w:cstheme="minorBidi" w:eastAsiaTheme="minorEastAsia"/>
      <w:color w:val="auto"/>
    </w:rPr>
  </w:style>
  <w:style w:type="paragraph" w:styleId="Default" w:customStyle="1">
    <w:name w:val="Default"/>
    <w:rsid w:val="00995DCB"/>
    <w:pPr>
      <w:widowControl w:val="0"/>
      <w:autoSpaceDE w:val="0"/>
      <w:autoSpaceDN w:val="0"/>
      <w:adjustRightInd w:val="0"/>
    </w:pPr>
    <w:rPr>
      <w:rFonts w:ascii="Gill Sans Infant Std" w:cs="Gill Sans Infant Std" w:hAnsi="Gill Sans Infant Std" w:eastAsiaTheme="minorEastAsia"/>
      <w:color w:val="000000"/>
    </w:rPr>
  </w:style>
  <w:style w:type="paragraph" w:styleId="CorpoA" w:customStyle="1">
    <w:name w:val="Corpo A"/>
    <w:rsid w:val="00995DC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sz w:val="22"/>
      <w:szCs w:val="22"/>
      <w:u w:color="000000"/>
      <w:bdr w:space="0" w:sz="0" w:val="ni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eWeb">
    <w:name w:val="Normal (Web)"/>
    <w:basedOn w:val="Normale"/>
    <w:uiPriority w:val="99"/>
    <w:unhideWhenUsed w:val="1"/>
    <w:rsid w:val="00995DCB"/>
    <w:pPr>
      <w:spacing w:after="100" w:afterAutospacing="1" w:before="100" w:beforeAutospacing="1"/>
    </w:pPr>
    <w:rPr>
      <w:rFonts w:ascii="Times New Roman" w:cs="Times New Roman" w:eastAsia="ＭＳ 明朝 (Corpo tema asiatico)" w:hAnsi="Times New Roman"/>
      <w:sz w:val="20"/>
      <w:szCs w:val="20"/>
    </w:rPr>
  </w:style>
  <w:style w:type="character" w:styleId="Rimandocommento">
    <w:name w:val="annotation reference"/>
    <w:basedOn w:val="Caratterepredefinitoparagrafo"/>
    <w:uiPriority w:val="99"/>
    <w:semiHidden w:val="1"/>
    <w:unhideWhenUsed w:val="1"/>
    <w:rsid w:val="00995D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95DCB"/>
    <w:rPr>
      <w:sz w:val="20"/>
      <w:szCs w:val="20"/>
    </w:rPr>
  </w:style>
  <w:style w:type="character" w:styleId="TestocommentoCarattere" w:customStyle="1">
    <w:name w:val="Testo commento Carattere"/>
    <w:basedOn w:val="Caratterepredefinitoparagrafo"/>
    <w:link w:val="Testocommento"/>
    <w:uiPriority w:val="99"/>
    <w:semiHidden w:val="1"/>
    <w:rsid w:val="00995DCB"/>
    <w:rPr>
      <w:rFonts w:asciiTheme="minorHAnsi" w:cstheme="minorBidi" w:eastAsiaTheme="minorEastAsia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95DCB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995DCB"/>
    <w:rPr>
      <w:rFonts w:ascii="Lucida Grande" w:cs="Lucida Grande" w:hAnsi="Lucida Grande" w:eastAsiaTheme="minorEastAsia"/>
      <w:color w:val="auto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95DC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95DCB"/>
    <w:rPr>
      <w:rFonts w:asciiTheme="minorHAnsi" w:cstheme="minorBidi" w:eastAsiaTheme="minorEastAsia"/>
      <w:b w:val="1"/>
      <w:bCs w:val="1"/>
      <w:color w:val="auto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+CzgNnl8+e9o/TESXLnd9pxIg==">CgMxLjA4AHIhMVdoQlVBVkd0Qjg1VnZUQ2xUbEZvaGVUMDlCV215Y3pL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2024-05-16T12:16:00Z</dcterms:created>
  <dc:creator>Elisa Domenichini</dc:creator>
</cp:coreProperties>
</file>